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450" w:afterAutospacing="0" w:line="560" w:lineRule="exact"/>
        <w:ind w:left="0" w:right="0" w:firstLine="56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宿迁市公共资源交易中心评标区办公场所改造项目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宿迁市公共资源交易中心现就评标</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办公</w:t>
      </w:r>
      <w:r>
        <w:rPr>
          <w:rFonts w:hint="eastAsia" w:ascii="方正仿宋_GBK" w:hAnsi="方正仿宋_GBK" w:eastAsia="方正仿宋_GBK" w:cs="方正仿宋_GBK"/>
          <w:sz w:val="32"/>
          <w:szCs w:val="32"/>
          <w:lang w:val="en-US" w:eastAsia="zh-CN"/>
        </w:rPr>
        <w:t>场所</w:t>
      </w:r>
      <w:r>
        <w:rPr>
          <w:rFonts w:hint="eastAsia" w:ascii="方正仿宋_GBK" w:hAnsi="方正仿宋_GBK" w:eastAsia="方正仿宋_GBK" w:cs="方正仿宋_GBK"/>
          <w:sz w:val="32"/>
          <w:szCs w:val="32"/>
        </w:rPr>
        <w:t>改造项目进行比价，现将有关事项公告如下：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项目</w:t>
      </w:r>
      <w:r>
        <w:rPr>
          <w:rFonts w:hint="eastAsia" w:ascii="方正黑体_GBK" w:hAnsi="方正黑体_GBK" w:eastAsia="方正黑体_GBK" w:cs="方正黑体_GBK"/>
          <w:sz w:val="32"/>
          <w:szCs w:val="32"/>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项目名称：宿迁市公共资源交易中心</w:t>
      </w:r>
      <w:bookmarkStart w:id="0" w:name="_GoBack"/>
      <w:bookmarkEnd w:id="0"/>
      <w:r>
        <w:rPr>
          <w:rFonts w:hint="eastAsia" w:ascii="方正仿宋_GBK" w:hAnsi="方正仿宋_GBK" w:eastAsia="方正仿宋_GBK" w:cs="方正仿宋_GBK"/>
          <w:sz w:val="32"/>
          <w:szCs w:val="32"/>
        </w:rPr>
        <w:t>评标</w:t>
      </w:r>
      <w:r>
        <w:rPr>
          <w:rFonts w:hint="eastAsia" w:ascii="方正仿宋_GBK" w:hAnsi="方正仿宋_GBK" w:eastAsia="方正仿宋_GBK" w:cs="方正仿宋_GBK"/>
          <w:sz w:val="32"/>
          <w:szCs w:val="32"/>
          <w:lang w:val="en-US" w:eastAsia="zh-CN"/>
        </w:rPr>
        <w:t>区办公场所</w:t>
      </w:r>
      <w:r>
        <w:rPr>
          <w:rFonts w:hint="eastAsia" w:ascii="方正仿宋_GBK" w:hAnsi="方正仿宋_GBK" w:eastAsia="方正仿宋_GBK" w:cs="方正仿宋_GBK"/>
          <w:sz w:val="32"/>
          <w:szCs w:val="32"/>
        </w:rPr>
        <w:t>改造项目。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项目内容：</w:t>
      </w:r>
      <w:r>
        <w:rPr>
          <w:rFonts w:hint="eastAsia" w:ascii="方正仿宋_GBK" w:hAnsi="方正仿宋_GBK" w:eastAsia="方正仿宋_GBK" w:cs="方正仿宋_GBK"/>
          <w:sz w:val="32"/>
          <w:szCs w:val="32"/>
          <w:lang w:val="en-US" w:eastAsia="zh-CN"/>
        </w:rPr>
        <w:t>评标区办公场所改造，具体详见采购清单</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项目预算及最高限价：</w:t>
      </w:r>
      <w:r>
        <w:rPr>
          <w:rFonts w:hint="eastAsia" w:ascii="方正仿宋_GBK" w:hAnsi="方正仿宋_GBK" w:eastAsia="方正仿宋_GBK" w:cs="方正仿宋_GBK"/>
          <w:sz w:val="32"/>
          <w:szCs w:val="32"/>
          <w:lang w:val="en-US" w:eastAsia="zh-CN"/>
        </w:rPr>
        <w:t>4.15</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供应商资格要求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 1</w:t>
      </w:r>
      <w:r>
        <w:rPr>
          <w:rFonts w:hint="eastAsia" w:ascii="方正仿宋_GBK" w:hAnsi="方正仿宋_GBK" w:eastAsia="方正仿宋_GBK" w:cs="方正仿宋_GBK"/>
          <w:sz w:val="32"/>
          <w:szCs w:val="32"/>
          <w:lang w:val="en-US" w:eastAsia="zh-CN"/>
        </w:rPr>
        <w:t>．供应商须是企业财务资信状况良好，依法缴纳税收且具有独立承担民事责任的法人、其它经济组织（提供营业执照）。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 2</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3年8月以来任意一月依法缴纳税收和社会保障资金的相关材料（指供应商依法缴纳税收和社会保障资金的凭据，依法免税或不需要缴纳社会保障资金的提供相应证明文件）。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三、评标办法及成交原则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．采用最低评标价法，按有效最终报价由低到高的顺序推荐成交候选人。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．成交原则：本项目采用</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轮报价，根据服务质量和相关服务承诺均能满足本项目采购需求且报价最低的原则确定成交供应商。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四、采购需求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（一）采购清单</w:t>
      </w:r>
    </w:p>
    <w:tbl>
      <w:tblPr>
        <w:tblStyle w:val="4"/>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1"/>
        <w:gridCol w:w="1237"/>
        <w:gridCol w:w="5129"/>
        <w:gridCol w:w="774"/>
        <w:gridCol w:w="566"/>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2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项目名称</w:t>
            </w:r>
          </w:p>
        </w:tc>
        <w:tc>
          <w:tcPr>
            <w:tcW w:w="51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具体要求</w:t>
            </w:r>
          </w:p>
        </w:tc>
        <w:tc>
          <w:tcPr>
            <w:tcW w:w="7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5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6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评标室吊顶翻新</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整体全部更换翻新吊顶铝塑板</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评标室吊顶防水</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采取顶部敷上防水膜+暗敷防漏保护排水套管，吊顶再做防水槽排水管网，通过排水管网汇聚渗漏水滴排到楼下管道，采取可靠的密封措施。</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主要包括吊顶铝塑板上方空间敷上防水膜、安装防漏排水套管、防水槽排水管网、管网桥架。</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墙柱面渗水处理</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评标区墙柱面渗水处理，主要对评标区</w:t>
            </w:r>
            <w:r>
              <w:rPr>
                <w:rStyle w:val="22"/>
                <w:color w:val="auto"/>
                <w:lang w:val="en-US" w:eastAsia="zh-CN" w:bidi="ar"/>
              </w:rPr>
              <w:t>3</w:t>
            </w:r>
            <w:r>
              <w:rPr>
                <w:rFonts w:hint="eastAsia" w:ascii="微软雅黑" w:hAnsi="微软雅黑" w:eastAsia="微软雅黑" w:cs="微软雅黑"/>
                <w:i w:val="0"/>
                <w:iCs w:val="0"/>
                <w:color w:val="auto"/>
                <w:kern w:val="0"/>
                <w:sz w:val="20"/>
                <w:szCs w:val="20"/>
                <w:u w:val="none"/>
                <w:lang w:val="en-US" w:eastAsia="zh-CN" w:bidi="ar"/>
              </w:rPr>
              <w:t>个</w:t>
            </w:r>
            <w:r>
              <w:rPr>
                <w:rFonts w:hint="eastAsia" w:ascii="微软雅黑" w:hAnsi="微软雅黑" w:eastAsia="微软雅黑" w:cs="微软雅黑"/>
                <w:i w:val="0"/>
                <w:iCs w:val="0"/>
                <w:color w:val="000000"/>
                <w:kern w:val="0"/>
                <w:sz w:val="20"/>
                <w:szCs w:val="20"/>
                <w:u w:val="none"/>
                <w:lang w:val="en-US" w:eastAsia="zh-CN" w:bidi="ar"/>
              </w:rPr>
              <w:t>房间墙柱面渗水处理，包括墙面、柱面渗水处理、抹灰饰面及隔音屏蔽处理。墙柱面渗水处理，采用在建筑物的墙面、柱面涂上防水乳胶漆进行防潮、防水、防渗、防尘、保温。同时表面覆盖防水装饰板。</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玻璃隔断间</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分割出两间玻璃房间，作为东西两个办公区。采用型钢做玻璃隔断上下框，并采用12mm厚的钢化玻璃1米高贴透光膜。包括打眼固定、安装铝合金边框、龙骨框固定、砖墙柱锚固、门框密封条、高强度粘合剂，移动滑轨、玻璃门、门框、门把手、门锁等。</w:t>
            </w: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平方米</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玻璃门</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需安装与地板瓷砖缝隙齐平，玻璃门高度不到顶，玻璃门禁是由门套、门框、门把手、门锁等组成，玻璃门把手采用的是不锈钢材质，表面经过抛光处理。</w:t>
            </w: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平方米</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2.2</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隔断强弱电</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在东、西玻璃隔断间，安装包括提供电源线、插座、插线板，政务外网、专网、电话线、光纤水晶接口等配件。</w:t>
            </w: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7</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指纹密码读卡器</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安装套一套联网式指纹密码读卡器系统。</w:t>
            </w: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8</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隔断间灯具</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在两个隔断间的顶部木质栅格内，安装2盏安装嵌入式LED吸顶式灯光带。安装隔断间灯具，</w:t>
            </w: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9</w:t>
            </w:r>
          </w:p>
        </w:tc>
        <w:tc>
          <w:tcPr>
            <w:tcW w:w="12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值班室灯具</w:t>
            </w:r>
          </w:p>
        </w:tc>
        <w:tc>
          <w:tcPr>
            <w:tcW w:w="5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在值班室值班人员位置正上方石膏天花板上，安装2盏吸顶式LED式灯具。</w:t>
            </w:r>
          </w:p>
        </w:tc>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10</w:t>
            </w:r>
          </w:p>
        </w:tc>
        <w:tc>
          <w:tcPr>
            <w:tcW w:w="1237"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腰线</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腰线15CM宽度。腰线名称：宿迁市公共资源交易中心。</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11</w:t>
            </w:r>
          </w:p>
        </w:tc>
        <w:tc>
          <w:tcPr>
            <w:tcW w:w="1237"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门牌</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门牌2块，亚克力材质，30*15CM尺寸</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套</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小便器</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感应小便器</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个</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13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其他</w:t>
            </w:r>
          </w:p>
        </w:tc>
        <w:tc>
          <w:tcPr>
            <w:tcW w:w="5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人工、材料运输、搬运、垃圾清理、地面保护等费用。</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iCs w:val="0"/>
                <w:color w:val="000000"/>
                <w:kern w:val="2"/>
                <w:sz w:val="20"/>
                <w:szCs w:val="20"/>
                <w:u w:val="none"/>
                <w:lang w:val="en-US" w:eastAsia="zh-CN" w:bidi="ar-SA"/>
              </w:rPr>
            </w:pPr>
            <w:r>
              <w:rPr>
                <w:rFonts w:hint="eastAsia" w:ascii="微软雅黑" w:hAnsi="微软雅黑" w:eastAsia="微软雅黑" w:cs="微软雅黑"/>
                <w:i w:val="0"/>
                <w:iCs w:val="0"/>
                <w:color w:val="000000"/>
                <w:kern w:val="0"/>
                <w:sz w:val="20"/>
                <w:szCs w:val="20"/>
                <w:u w:val="none"/>
                <w:lang w:val="en-US" w:eastAsia="zh-CN" w:bidi="ar"/>
              </w:rPr>
              <w:t>1</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lang w:val="en-US" w:eastAsia="zh-CN"/>
        </w:rPr>
        <w:t>二</w:t>
      </w:r>
      <w:r>
        <w:rPr>
          <w:rFonts w:hint="eastAsia" w:ascii="方正楷体_GBK" w:hAnsi="方正楷体_GBK" w:eastAsia="方正楷体_GBK" w:cs="方正楷体_GBK"/>
          <w:sz w:val="28"/>
          <w:szCs w:val="28"/>
          <w:lang w:eastAsia="zh-CN"/>
        </w:rPr>
        <w:t>）</w:t>
      </w:r>
      <w:r>
        <w:rPr>
          <w:rFonts w:hint="eastAsia" w:ascii="方正仿宋_GBK" w:hAnsi="方正仿宋_GBK" w:eastAsia="方正仿宋_GBK" w:cs="方正仿宋_GBK"/>
          <w:sz w:val="32"/>
          <w:szCs w:val="32"/>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 xml:space="preserve">1. </w:t>
      </w:r>
      <w:r>
        <w:rPr>
          <w:rFonts w:hint="eastAsia" w:ascii="方正仿宋_GBK" w:hAnsi="方正仿宋_GBK" w:eastAsia="方正仿宋_GBK" w:cs="方正仿宋_GBK"/>
          <w:sz w:val="32"/>
          <w:szCs w:val="32"/>
        </w:rPr>
        <w:t>项目成交后，供应商应服从采购人对项目实施时间的工作安排和要求，应积极配合。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 xml:space="preserve">2. </w:t>
      </w:r>
      <w:r>
        <w:rPr>
          <w:rFonts w:hint="eastAsia" w:ascii="方正仿宋_GBK" w:hAnsi="方正仿宋_GBK" w:eastAsia="方正仿宋_GBK" w:cs="方正仿宋_GBK"/>
          <w:sz w:val="32"/>
          <w:szCs w:val="32"/>
        </w:rPr>
        <w:t>项目免费质保期：</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年（自验收合格之日起计算），免费上门维护。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 xml:space="preserve">3. </w:t>
      </w:r>
      <w:r>
        <w:rPr>
          <w:rFonts w:hint="eastAsia" w:ascii="方正仿宋_GBK" w:hAnsi="方正仿宋_GBK" w:eastAsia="方正仿宋_GBK" w:cs="方正仿宋_GBK"/>
          <w:sz w:val="32"/>
          <w:szCs w:val="32"/>
        </w:rPr>
        <w:t>供应商在报价前应自行进行现场考察，成交后不因材料变化、数量变化、材料价格变化、施工场地情况、垃圾清运、强弱电改造等增加费用。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4. </w:t>
      </w:r>
      <w:r>
        <w:rPr>
          <w:rFonts w:hint="eastAsia" w:ascii="方正仿宋_GBK" w:hAnsi="方正仿宋_GBK" w:eastAsia="方正仿宋_GBK" w:cs="方正仿宋_GBK"/>
          <w:sz w:val="32"/>
          <w:szCs w:val="32"/>
          <w:lang w:val="en-US" w:eastAsia="zh-CN"/>
        </w:rPr>
        <w:t>施工中所需的电线、网线、电话线、水晶头、插线板等配件，</w:t>
      </w:r>
      <w:r>
        <w:rPr>
          <w:rFonts w:hint="default" w:ascii="方正仿宋_GBK" w:hAnsi="方正仿宋_GBK" w:eastAsia="方正仿宋_GBK" w:cs="方正仿宋_GBK"/>
          <w:sz w:val="32"/>
          <w:szCs w:val="32"/>
          <w:lang w:val="en-US" w:eastAsia="zh-CN"/>
        </w:rPr>
        <w:t>如有国标</w:t>
      </w:r>
      <w:r>
        <w:rPr>
          <w:rFonts w:hint="eastAsia" w:ascii="方正仿宋_GBK" w:hAnsi="方正仿宋_GBK" w:eastAsia="方正仿宋_GBK" w:cs="方正仿宋_GBK"/>
          <w:sz w:val="32"/>
          <w:szCs w:val="32"/>
          <w:lang w:val="en-US" w:eastAsia="zh-CN"/>
        </w:rPr>
        <w:t>，采用国标产品。如无国标，有行业标准的，采用行业标准产品。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default"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供应商负责对垃圾清运。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val="en-US" w:eastAsia="zh-CN"/>
        </w:rPr>
        <w:t>．竞标供应商报价包括本次前期拆除、所采购的产品、运输、安装、调试、人工、后期维保等项目实施中所有相关费用。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日历天。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五、付款方式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项目完成并通过验收合格后，采购单位</w:t>
      </w:r>
      <w:r>
        <w:rPr>
          <w:rFonts w:hint="eastAsia" w:ascii="方正仿宋_GBK" w:hAnsi="方正仿宋_GBK" w:eastAsia="方正仿宋_GBK" w:cs="方正仿宋_GBK"/>
          <w:sz w:val="32"/>
          <w:szCs w:val="32"/>
          <w:lang w:val="en-US" w:eastAsia="zh-CN"/>
        </w:rPr>
        <w:t>付至合同价款的</w:t>
      </w:r>
      <w:r>
        <w:rPr>
          <w:rFonts w:hint="default"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六、报价文件组成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供应商报价文件应包含如下材料：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供应商法人营业执照、税务登记证（或</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三证合一</w:t>
      </w:r>
      <w:r>
        <w:rPr>
          <w:rFonts w:hint="default"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营业执照）复印件；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3年8月以来任意一月依法缴纳税收和社会保障资金的相关材料（指供应商依法缴纳税收和社会保障资金的凭据，依法免税或不需要缴纳社会保障资金的提供相应证明文件）。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明细报价表（格式见附件）；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相关服务承诺（格式自拟）。</w:t>
      </w:r>
    </w:p>
    <w:p>
      <w:pPr>
        <w:spacing w:line="500" w:lineRule="exact"/>
        <w:ind w:firstLine="560" w:firstLineChars="200"/>
        <w:rPr>
          <w:rFonts w:cs="Times New Roman" w:asciiTheme="minorEastAsia" w:hAnsiTheme="minorEastAsia"/>
          <w:sz w:val="28"/>
          <w:szCs w:val="28"/>
          <w:u w:val="single"/>
        </w:rPr>
      </w:pPr>
      <w:r>
        <w:rPr>
          <w:rFonts w:cs="Times New Roman" w:asciiTheme="minorEastAsia" w:hAnsiTheme="minorEastAsia"/>
          <w:color w:val="FF0000"/>
          <w:sz w:val="28"/>
          <w:szCs w:val="28"/>
          <w:u w:val="single"/>
        </w:rPr>
        <w:t>注</w:t>
      </w:r>
      <w:r>
        <w:rPr>
          <w:rFonts w:hint="eastAsia" w:cs="Times New Roman" w:asciiTheme="minorEastAsia" w:hAnsiTheme="minorEastAsia"/>
          <w:color w:val="FF0000"/>
          <w:sz w:val="28"/>
          <w:szCs w:val="28"/>
          <w:u w:val="single"/>
        </w:rPr>
        <w:t>：</w:t>
      </w:r>
      <w:r>
        <w:rPr>
          <w:rFonts w:cs="Times New Roman" w:asciiTheme="minorEastAsia" w:hAnsiTheme="minorEastAsia"/>
          <w:color w:val="FF0000"/>
          <w:sz w:val="28"/>
          <w:szCs w:val="28"/>
          <w:u w:val="single"/>
        </w:rPr>
        <w:t>以上报价文件所需材料需要加盖投标单位公章</w:t>
      </w:r>
      <w:r>
        <w:rPr>
          <w:rFonts w:hint="eastAsia" w:cs="Times New Roman" w:asciiTheme="minorEastAsia" w:hAnsiTheme="minorEastAsia"/>
          <w:color w:val="FF0000"/>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七、报名接收信息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．报名截止时间：</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3年11月16日09</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lang w:val="en-US" w:eastAsia="zh-CN"/>
        </w:rPr>
        <w:t>（逾期将不予接受）。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．开标时间：</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3年11月16日</w:t>
      </w:r>
      <w:r>
        <w:rPr>
          <w:rFonts w:hint="default" w:ascii="方正仿宋_GBK" w:hAnsi="方正仿宋_GBK" w:eastAsia="方正仿宋_GBK" w:cs="方正仿宋_GBK"/>
          <w:sz w:val="32"/>
          <w:szCs w:val="32"/>
          <w:lang w:val="en-US" w:eastAsia="zh-CN"/>
        </w:rPr>
        <w:t>10:00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．开标地点：市洪泽湖路</w:t>
      </w:r>
      <w:r>
        <w:rPr>
          <w:rFonts w:hint="default" w:ascii="方正仿宋_GBK" w:hAnsi="方正仿宋_GBK" w:eastAsia="方正仿宋_GBK" w:cs="方正仿宋_GBK"/>
          <w:sz w:val="32"/>
          <w:szCs w:val="32"/>
          <w:lang w:val="en-US" w:eastAsia="zh-CN"/>
        </w:rPr>
        <w:t>889</w:t>
      </w:r>
      <w:r>
        <w:rPr>
          <w:rFonts w:hint="eastAsia" w:ascii="方正仿宋_GBK" w:hAnsi="方正仿宋_GBK" w:eastAsia="方正仿宋_GBK" w:cs="方正仿宋_GBK"/>
          <w:sz w:val="32"/>
          <w:szCs w:val="32"/>
          <w:lang w:val="en-US" w:eastAsia="zh-CN"/>
        </w:rPr>
        <w:t>号便民方舟</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号楼</w:t>
      </w:r>
      <w:r>
        <w:rPr>
          <w:rFonts w:hint="default"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val="en-US" w:eastAsia="zh-CN"/>
        </w:rPr>
        <w:t>楼开标厅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八、本次采购联系事项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采购单位：宿迁市公共资源交易中心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系</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人：</w:t>
      </w:r>
      <w:r>
        <w:rPr>
          <w:rFonts w:hint="eastAsia" w:ascii="方正仿宋_GBK" w:hAnsi="方正仿宋_GBK" w:eastAsia="方正仿宋_GBK" w:cs="方正仿宋_GBK"/>
          <w:sz w:val="32"/>
          <w:szCs w:val="32"/>
          <w:lang w:val="en-US" w:eastAsia="zh-CN"/>
        </w:rPr>
        <w:t>孙千涵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val="en-US" w:eastAsia="zh-CN"/>
        </w:rPr>
        <w:t>0527-84396023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联系地址：市洪泽湖路</w:t>
      </w:r>
      <w:r>
        <w:rPr>
          <w:rFonts w:hint="default" w:ascii="方正仿宋_GBK" w:hAnsi="方正仿宋_GBK" w:eastAsia="方正仿宋_GBK" w:cs="方正仿宋_GBK"/>
          <w:sz w:val="32"/>
          <w:szCs w:val="32"/>
        </w:rPr>
        <w:t>889</w:t>
      </w:r>
      <w:r>
        <w:rPr>
          <w:rFonts w:hint="eastAsia" w:ascii="方正仿宋_GBK" w:hAnsi="方正仿宋_GBK" w:eastAsia="方正仿宋_GBK" w:cs="方正仿宋_GBK"/>
          <w:sz w:val="32"/>
          <w:szCs w:val="32"/>
        </w:rPr>
        <w:t>号便民方舟</w:t>
      </w:r>
      <w:r>
        <w:rPr>
          <w:rFonts w:hint="default"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号楼</w:t>
      </w:r>
      <w:r>
        <w:rPr>
          <w:rFonts w:hint="eastAsia" w:ascii="方正仿宋_GBK" w:hAnsi="方正仿宋_GBK" w:eastAsia="方正仿宋_GBK" w:cs="方正仿宋_GBK"/>
          <w:sz w:val="32"/>
          <w:szCs w:val="32"/>
          <w:lang w:val="en-US" w:eastAsia="zh-CN"/>
        </w:rPr>
        <w:t>1103</w:t>
      </w:r>
      <w:r>
        <w:rPr>
          <w:rFonts w:hint="eastAsia" w:ascii="方正仿宋_GBK" w:hAnsi="方正仿宋_GBK" w:eastAsia="方正仿宋_GBK" w:cs="方正仿宋_GBK"/>
          <w:sz w:val="32"/>
          <w:szCs w:val="32"/>
        </w:rPr>
        <w:t>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p>
    <w:p>
      <w:pPr>
        <w:rPr>
          <w:rFonts w:hint="eastAsia" w:ascii="方正黑体_GBK" w:eastAsia="方正黑体_GBK"/>
          <w:sz w:val="32"/>
          <w:szCs w:val="32"/>
        </w:rPr>
      </w:pPr>
      <w:r>
        <w:rPr>
          <w:rFonts w:hint="eastAsia" w:ascii="方正黑体_GBK" w:eastAsia="方正黑体_GBK"/>
          <w:sz w:val="32"/>
          <w:szCs w:val="32"/>
        </w:rPr>
        <w:t>附件：</w:t>
      </w:r>
    </w:p>
    <w:p>
      <w:pPr>
        <w:pStyle w:val="3"/>
        <w:spacing w:before="0" w:beforeAutospacing="0" w:after="0" w:afterAutospacing="0" w:line="480" w:lineRule="auto"/>
        <w:jc w:val="center"/>
        <w:rPr>
          <w:rFonts w:ascii="方正小标宋_GBK" w:eastAsia="方正小标宋_GBK"/>
          <w:bCs/>
          <w:sz w:val="36"/>
          <w:szCs w:val="36"/>
        </w:rPr>
      </w:pPr>
      <w:r>
        <w:rPr>
          <w:rStyle w:val="7"/>
          <w:rFonts w:hint="eastAsia" w:ascii="方正小标宋_GBK" w:hAnsi="Times New Roman" w:eastAsia="方正小标宋_GBK" w:cs="Times New Roman"/>
          <w:sz w:val="36"/>
          <w:szCs w:val="36"/>
          <w:lang w:val="en-US" w:eastAsia="zh-CN"/>
        </w:rPr>
        <w:t>评标区办公场所改造项目</w:t>
      </w:r>
      <w:r>
        <w:rPr>
          <w:rStyle w:val="7"/>
          <w:rFonts w:hint="eastAsia" w:ascii="方正小标宋_GBK" w:eastAsia="方正小标宋_GBK"/>
          <w:sz w:val="36"/>
          <w:szCs w:val="36"/>
        </w:rPr>
        <w:t>报价表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060"/>
        <w:gridCol w:w="1484"/>
        <w:gridCol w:w="1134"/>
        <w:gridCol w:w="153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序号</w:t>
            </w:r>
          </w:p>
        </w:tc>
        <w:tc>
          <w:tcPr>
            <w:tcW w:w="2060"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服务内容</w:t>
            </w:r>
          </w:p>
        </w:tc>
        <w:tc>
          <w:tcPr>
            <w:tcW w:w="1484"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单价</w:t>
            </w:r>
            <w:r>
              <w:rPr>
                <w:rFonts w:hint="eastAsia" w:ascii="黑体" w:hAnsi="黑体" w:eastAsia="黑体" w:cs="Times New Roman"/>
                <w:sz w:val="24"/>
                <w:szCs w:val="24"/>
              </w:rPr>
              <w:t>（元）</w:t>
            </w:r>
          </w:p>
        </w:tc>
        <w:tc>
          <w:tcPr>
            <w:tcW w:w="1134"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数量</w:t>
            </w:r>
          </w:p>
        </w:tc>
        <w:tc>
          <w:tcPr>
            <w:tcW w:w="1531"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总价</w:t>
            </w:r>
            <w:r>
              <w:rPr>
                <w:rFonts w:hint="eastAsia" w:ascii="黑体" w:hAnsi="黑体" w:eastAsia="黑体" w:cs="Times New Roman"/>
                <w:sz w:val="24"/>
                <w:szCs w:val="24"/>
              </w:rPr>
              <w:t>（元）</w:t>
            </w:r>
          </w:p>
        </w:tc>
        <w:tc>
          <w:tcPr>
            <w:tcW w:w="1383"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评标室吊顶翻新</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评标室吊顶防水</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3</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墙柱面渗水处理</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4</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玻璃隔断间</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5</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内开玻璃门</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6</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隔断强弱电</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7</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指纹密码读卡器</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8</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隔断间灯具</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9</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值班室灯具</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spacing w:line="50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10</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腰线</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11</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门牌</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12</w:t>
            </w:r>
          </w:p>
        </w:tc>
        <w:tc>
          <w:tcPr>
            <w:tcW w:w="2060" w:type="dxa"/>
            <w:vAlign w:val="center"/>
          </w:tcPr>
          <w:p>
            <w:pPr>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小便器</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13</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税费</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14</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其他</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2"/>
            <w:vAlign w:val="center"/>
          </w:tcPr>
          <w:p>
            <w:pPr>
              <w:jc w:val="center"/>
              <w:rPr>
                <w:rFonts w:ascii="黑体" w:hAnsi="黑体" w:eastAsia="黑体" w:cs="Times New Roman"/>
                <w:sz w:val="24"/>
                <w:szCs w:val="24"/>
              </w:rPr>
            </w:pPr>
            <w:r>
              <w:rPr>
                <w:rFonts w:ascii="黑体" w:hAnsi="黑体" w:eastAsia="黑体" w:cs="Times New Roman"/>
                <w:sz w:val="24"/>
                <w:szCs w:val="24"/>
              </w:rPr>
              <w:t>合计</w:t>
            </w:r>
            <w:r>
              <w:rPr>
                <w:rFonts w:hint="eastAsia" w:ascii="黑体" w:hAnsi="黑体" w:eastAsia="黑体" w:cs="Times New Roman"/>
                <w:sz w:val="24"/>
                <w:szCs w:val="24"/>
              </w:rPr>
              <w:t>：</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2"/>
            <w:vAlign w:val="center"/>
          </w:tcPr>
          <w:p>
            <w:pPr>
              <w:jc w:val="center"/>
              <w:rPr>
                <w:rFonts w:ascii="黑体" w:hAnsi="黑体" w:eastAsia="黑体" w:cs="Times New Roman"/>
                <w:sz w:val="24"/>
                <w:szCs w:val="24"/>
              </w:rPr>
            </w:pPr>
            <w:r>
              <w:rPr>
                <w:rFonts w:ascii="黑体" w:hAnsi="黑体" w:eastAsia="黑体" w:cs="Times New Roman"/>
                <w:sz w:val="24"/>
                <w:szCs w:val="24"/>
              </w:rPr>
              <w:t>投标报价</w:t>
            </w:r>
            <w:r>
              <w:rPr>
                <w:rFonts w:hint="eastAsia" w:ascii="黑体" w:hAnsi="黑体" w:eastAsia="黑体" w:cs="Times New Roman"/>
                <w:sz w:val="24"/>
                <w:szCs w:val="24"/>
              </w:rPr>
              <w:t>：</w:t>
            </w:r>
          </w:p>
        </w:tc>
        <w:tc>
          <w:tcPr>
            <w:tcW w:w="5532" w:type="dxa"/>
            <w:gridSpan w:val="4"/>
          </w:tcPr>
          <w:p>
            <w:pPr>
              <w:spacing w:line="50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rPr>
              <w:t>人民币小写¥</w:t>
            </w:r>
            <w:r>
              <w:rPr>
                <w:rFonts w:hint="eastAsia" w:ascii="Times New Roman" w:hAnsi="Times New Roman" w:eastAsia="方正仿宋_GBK" w:cs="Times New Roman"/>
                <w:sz w:val="24"/>
                <w:szCs w:val="24"/>
              </w:rPr>
              <w:t>：</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p>
          <w:p>
            <w:pPr>
              <w:spacing w:line="50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人民币大写</w:t>
            </w:r>
            <w:r>
              <w:rPr>
                <w:rFonts w:hint="eastAsia" w:ascii="Times New Roman" w:hAnsi="Times New Roman" w:eastAsia="方正仿宋_GBK" w:cs="Times New Roman"/>
                <w:sz w:val="24"/>
                <w:szCs w:val="24"/>
              </w:rPr>
              <w:t>：</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万</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千</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百</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拾</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元</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角</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分</w:t>
            </w:r>
          </w:p>
        </w:tc>
      </w:tr>
    </w:tbl>
    <w:p>
      <w:pPr>
        <w:spacing w:line="380" w:lineRule="exact"/>
        <w:ind w:right="480"/>
        <w:rPr>
          <w:rFonts w:hint="eastAsia" w:eastAsia="方正仿宋_GBK"/>
          <w:bCs/>
          <w:sz w:val="24"/>
          <w:szCs w:val="24"/>
        </w:rPr>
      </w:pPr>
    </w:p>
    <w:p>
      <w:pPr>
        <w:spacing w:line="380" w:lineRule="exact"/>
        <w:jc w:val="left"/>
        <w:rPr>
          <w:rFonts w:hint="eastAsia" w:eastAsia="方正仿宋_GBK"/>
          <w:bCs/>
          <w:sz w:val="24"/>
          <w:szCs w:val="24"/>
        </w:rPr>
      </w:pPr>
      <w:r>
        <w:rPr>
          <w:rFonts w:hint="eastAsia" w:eastAsia="方正仿宋_GBK"/>
          <w:b/>
          <w:sz w:val="24"/>
          <w:szCs w:val="24"/>
        </w:rPr>
        <w:t>注：</w:t>
      </w:r>
      <w:r>
        <w:rPr>
          <w:rFonts w:hint="eastAsia" w:eastAsia="方正仿宋_GBK"/>
          <w:sz w:val="24"/>
          <w:szCs w:val="24"/>
        </w:rPr>
        <w:t>表中表格行数可自行添加。</w:t>
      </w:r>
      <w:r>
        <w:rPr>
          <w:rFonts w:hint="eastAsia" w:eastAsia="方正仿宋_GBK"/>
          <w:iCs/>
          <w:sz w:val="24"/>
          <w:szCs w:val="24"/>
        </w:rPr>
        <w:t>采购文件中未列出的相关服务和在实施过程中涉及到的其它一切费用应在报价时一并考虑，项目实施过程中不再单独结算。</w:t>
      </w:r>
      <w:r>
        <w:rPr>
          <w:rFonts w:hint="eastAsia" w:eastAsia="方正仿宋_GBK"/>
          <w:sz w:val="24"/>
          <w:szCs w:val="24"/>
          <w:u w:val="single"/>
        </w:rPr>
        <w:t>表中竞标报价总计应与对应报价一览表中投标总价一致。</w:t>
      </w:r>
    </w:p>
    <w:p>
      <w:pPr>
        <w:spacing w:line="560" w:lineRule="exact"/>
        <w:rPr>
          <w:rFonts w:hint="eastAsia" w:eastAsia="方正仿宋_GBK"/>
          <w:sz w:val="24"/>
          <w:szCs w:val="24"/>
        </w:rPr>
      </w:pPr>
    </w:p>
    <w:p>
      <w:pPr>
        <w:spacing w:line="560" w:lineRule="exact"/>
        <w:rPr>
          <w:rFonts w:hint="eastAsia" w:eastAsia="方正仿宋_GBK"/>
          <w:sz w:val="24"/>
          <w:szCs w:val="24"/>
        </w:rPr>
      </w:pPr>
      <w:r>
        <w:rPr>
          <w:rFonts w:hint="eastAsia" w:eastAsia="方正仿宋_GBK"/>
          <w:sz w:val="24"/>
          <w:szCs w:val="24"/>
        </w:rPr>
        <w:t>单位公章：</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p>
    <w:p>
      <w:pPr>
        <w:spacing w:line="560" w:lineRule="exact"/>
        <w:rPr>
          <w:rFonts w:hint="eastAsia" w:eastAsia="方正仿宋_GBK"/>
          <w:sz w:val="24"/>
          <w:szCs w:val="24"/>
        </w:rPr>
      </w:pPr>
    </w:p>
    <w:p>
      <w:pPr>
        <w:spacing w:line="560" w:lineRule="exact"/>
        <w:rPr>
          <w:rFonts w:hint="eastAsia" w:eastAsia="方正仿宋_GBK"/>
          <w:sz w:val="24"/>
          <w:szCs w:val="24"/>
          <w:u w:val="single"/>
        </w:rPr>
      </w:pPr>
      <w:r>
        <w:rPr>
          <w:rFonts w:hint="eastAsia" w:eastAsia="方正仿宋_GBK"/>
          <w:sz w:val="24"/>
          <w:szCs w:val="24"/>
        </w:rPr>
        <w:t>项目联系人签字或盖章：</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p>
    <w:p>
      <w:pPr>
        <w:spacing w:line="560" w:lineRule="exact"/>
        <w:rPr>
          <w:rFonts w:hint="eastAsia" w:eastAsia="方正仿宋_GBK"/>
          <w:sz w:val="24"/>
          <w:szCs w:val="24"/>
          <w:u w:val="single"/>
        </w:rPr>
      </w:pPr>
    </w:p>
    <w:p>
      <w:pPr>
        <w:spacing w:line="500" w:lineRule="exact"/>
        <w:rPr>
          <w:rFonts w:ascii="Times New Roman" w:hAnsi="Times New Roman" w:eastAsia="方正仿宋_GBK" w:cs="Times New Roman"/>
          <w:sz w:val="28"/>
          <w:szCs w:val="28"/>
        </w:rPr>
      </w:pPr>
      <w:r>
        <w:rPr>
          <w:rFonts w:hint="eastAsia" w:eastAsia="方正仿宋_GBK"/>
          <w:sz w:val="24"/>
          <w:szCs w:val="24"/>
        </w:rPr>
        <w:t>项目联系人联系电话：</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r>
        <w:rPr>
          <w:rFonts w:eastAsia="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2FB83"/>
    <w:multiLevelType w:val="singleLevel"/>
    <w:tmpl w:val="D352FB83"/>
    <w:lvl w:ilvl="0" w:tentative="0">
      <w:start w:val="1"/>
      <w:numFmt w:val="decimal"/>
      <w:suff w:val="space"/>
      <w:lvlText w:val="%1."/>
      <w:lvlJc w:val="left"/>
    </w:lvl>
  </w:abstractNum>
  <w:abstractNum w:abstractNumId="1">
    <w:nsid w:val="2D58A620"/>
    <w:multiLevelType w:val="singleLevel"/>
    <w:tmpl w:val="2D58A6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NzFlMjU3ZDVjMTdmN2JiNzk4NWZkNjIzY2QyOTgifQ=="/>
  </w:docVars>
  <w:rsids>
    <w:rsidRoot w:val="27797FD6"/>
    <w:rsid w:val="003357D8"/>
    <w:rsid w:val="03D83A9C"/>
    <w:rsid w:val="0AE222D4"/>
    <w:rsid w:val="0DF37026"/>
    <w:rsid w:val="11A16A45"/>
    <w:rsid w:val="11B06C88"/>
    <w:rsid w:val="142521C0"/>
    <w:rsid w:val="18C15C1F"/>
    <w:rsid w:val="18E045F9"/>
    <w:rsid w:val="1A073B05"/>
    <w:rsid w:val="1AC6751C"/>
    <w:rsid w:val="1C031CE4"/>
    <w:rsid w:val="223C6316"/>
    <w:rsid w:val="245E4322"/>
    <w:rsid w:val="27797FD6"/>
    <w:rsid w:val="27A97FAA"/>
    <w:rsid w:val="296C2422"/>
    <w:rsid w:val="2A911B9D"/>
    <w:rsid w:val="2DA46F89"/>
    <w:rsid w:val="2EFA10E3"/>
    <w:rsid w:val="2F542EF1"/>
    <w:rsid w:val="2FE36023"/>
    <w:rsid w:val="316754F8"/>
    <w:rsid w:val="3289769B"/>
    <w:rsid w:val="365732C7"/>
    <w:rsid w:val="387B504A"/>
    <w:rsid w:val="38B92017"/>
    <w:rsid w:val="39A62333"/>
    <w:rsid w:val="404843AC"/>
    <w:rsid w:val="40B86086"/>
    <w:rsid w:val="4545710C"/>
    <w:rsid w:val="463F2B8E"/>
    <w:rsid w:val="477438CC"/>
    <w:rsid w:val="47995B02"/>
    <w:rsid w:val="4B3D0885"/>
    <w:rsid w:val="4DB4117C"/>
    <w:rsid w:val="4FAB115B"/>
    <w:rsid w:val="54E81862"/>
    <w:rsid w:val="55985036"/>
    <w:rsid w:val="55FB317A"/>
    <w:rsid w:val="596040BD"/>
    <w:rsid w:val="5A20384C"/>
    <w:rsid w:val="5CC70C77"/>
    <w:rsid w:val="5E113BD7"/>
    <w:rsid w:val="5E316028"/>
    <w:rsid w:val="5E54276E"/>
    <w:rsid w:val="61131E0B"/>
    <w:rsid w:val="61776447"/>
    <w:rsid w:val="648C220A"/>
    <w:rsid w:val="65FE0EE5"/>
    <w:rsid w:val="677A0A3F"/>
    <w:rsid w:val="6CBE317C"/>
    <w:rsid w:val="71F633B8"/>
    <w:rsid w:val="728F7281"/>
    <w:rsid w:val="77C47AB5"/>
    <w:rsid w:val="7DC223A1"/>
    <w:rsid w:val="7DD547CA"/>
    <w:rsid w:val="7F65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bCs/>
    </w:rPr>
  </w:style>
  <w:style w:type="character" w:styleId="8">
    <w:name w:val="FollowedHyperlink"/>
    <w:basedOn w:val="6"/>
    <w:qFormat/>
    <w:uiPriority w:val="0"/>
    <w:rPr>
      <w:color w:val="444444"/>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444444"/>
      <w:u w:val="none"/>
    </w:rPr>
  </w:style>
  <w:style w:type="character" w:styleId="13">
    <w:name w:val="HTML Code"/>
    <w:basedOn w:val="6"/>
    <w:qFormat/>
    <w:uiPriority w:val="0"/>
    <w:rPr>
      <w:rFonts w:hint="default" w:ascii="monospace" w:hAnsi="monospace" w:eastAsia="monospace" w:cs="monospace"/>
      <w:color w:val="1064B3"/>
      <w:sz w:val="21"/>
      <w:szCs w:val="21"/>
      <w:u w:val="none"/>
    </w:rPr>
  </w:style>
  <w:style w:type="character" w:styleId="14">
    <w:name w:val="HTML Cite"/>
    <w:basedOn w:val="6"/>
    <w:qFormat/>
    <w:uiPriority w:val="0"/>
  </w:style>
  <w:style w:type="character" w:styleId="15">
    <w:name w:val="HTML Keyboard"/>
    <w:basedOn w:val="6"/>
    <w:qFormat/>
    <w:uiPriority w:val="0"/>
    <w:rPr>
      <w:rFonts w:ascii="monospace" w:hAnsi="monospace" w:eastAsia="monospace" w:cs="monospace"/>
      <w:sz w:val="21"/>
      <w:szCs w:val="21"/>
    </w:rPr>
  </w:style>
  <w:style w:type="character" w:styleId="16">
    <w:name w:val="HTML Sample"/>
    <w:basedOn w:val="6"/>
    <w:qFormat/>
    <w:uiPriority w:val="0"/>
    <w:rPr>
      <w:rFonts w:hint="default" w:ascii="monospace" w:hAnsi="monospace" w:eastAsia="monospace" w:cs="monospace"/>
      <w:sz w:val="21"/>
      <w:szCs w:val="21"/>
    </w:rPr>
  </w:style>
  <w:style w:type="character" w:customStyle="1" w:styleId="17">
    <w:name w:val="layui-layer-tabnow"/>
    <w:basedOn w:val="6"/>
    <w:qFormat/>
    <w:uiPriority w:val="0"/>
    <w:rPr>
      <w:bdr w:val="single" w:color="CCCCCC" w:sz="6" w:space="0"/>
      <w:shd w:val="clear" w:fill="FFFFFF"/>
    </w:rPr>
  </w:style>
  <w:style w:type="character" w:customStyle="1" w:styleId="18">
    <w:name w:val="first-child2"/>
    <w:basedOn w:val="6"/>
    <w:qFormat/>
    <w:uiPriority w:val="0"/>
  </w:style>
  <w:style w:type="character" w:customStyle="1" w:styleId="19">
    <w:name w:val="first-child"/>
    <w:basedOn w:val="6"/>
    <w:qFormat/>
    <w:uiPriority w:val="0"/>
  </w:style>
  <w:style w:type="character" w:customStyle="1" w:styleId="20">
    <w:name w:val="font11"/>
    <w:basedOn w:val="6"/>
    <w:qFormat/>
    <w:uiPriority w:val="0"/>
    <w:rPr>
      <w:rFonts w:hint="eastAsia" w:ascii="微软雅黑" w:hAnsi="微软雅黑" w:eastAsia="微软雅黑" w:cs="微软雅黑"/>
      <w:color w:val="000000"/>
      <w:sz w:val="20"/>
      <w:szCs w:val="20"/>
      <w:u w:val="none"/>
    </w:rPr>
  </w:style>
  <w:style w:type="character" w:customStyle="1" w:styleId="21">
    <w:name w:val="font31"/>
    <w:basedOn w:val="6"/>
    <w:qFormat/>
    <w:uiPriority w:val="0"/>
    <w:rPr>
      <w:rFonts w:hint="eastAsia" w:ascii="微软雅黑" w:hAnsi="微软雅黑" w:eastAsia="微软雅黑" w:cs="微软雅黑"/>
      <w:color w:val="FF0000"/>
      <w:sz w:val="20"/>
      <w:szCs w:val="20"/>
      <w:u w:val="none"/>
    </w:rPr>
  </w:style>
  <w:style w:type="character" w:customStyle="1" w:styleId="22">
    <w:name w:val="font51"/>
    <w:basedOn w:val="6"/>
    <w:qFormat/>
    <w:uiPriority w:val="0"/>
    <w:rPr>
      <w:rFonts w:hint="eastAsia" w:ascii="微软雅黑" w:hAnsi="微软雅黑" w:eastAsia="微软雅黑" w:cs="微软雅黑"/>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2023-10-19T07:17:00Z</dcterms:created>
  <dc:creator>WPS_1678757888</dc:creator>
  <cp:lastModifiedBy>Administrator</cp:lastModifiedBy>
  <dcterms:modified xsi:type="dcterms:W3CDTF">2023-11-13T08:03:33Z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225F9848D3B345A48D4A16CF3F5E83D8_11</vt:lpwstr>
  </property>
</Properties>
</file>